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1B" w:rsidRPr="004119C7" w:rsidRDefault="004119C7" w:rsidP="004119C7">
      <w:pPr>
        <w:rPr>
          <w:rFonts w:ascii="MinionPro-Regular" w:hAnsi="MinionPro-Regular" w:cs="MinionPro-Regular"/>
          <w:b/>
          <w:color w:val="1F497D" w:themeColor="text2"/>
          <w:sz w:val="24"/>
          <w:szCs w:val="24"/>
          <w:lang w:val="en-GB"/>
        </w:rPr>
      </w:pPr>
      <w:r w:rsidRPr="004119C7">
        <w:rPr>
          <w:rFonts w:ascii="MinionPro-Regular" w:hAnsi="MinionPro-Regular" w:cs="MinionPro-Regular"/>
          <w:b/>
          <w:color w:val="1F497D" w:themeColor="text2"/>
          <w:sz w:val="24"/>
          <w:szCs w:val="24"/>
          <w:lang w:val="en-GB"/>
        </w:rPr>
        <w:t>Inter-Agency Business Operations Harmonization at country level</w:t>
      </w:r>
    </w:p>
    <w:p w:rsidR="003C743F" w:rsidRDefault="00083F1B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  <w:r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As part of an </w:t>
      </w:r>
      <w:r w:rsidR="003C743F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ongoing </w:t>
      </w:r>
      <w:r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effort </w:t>
      </w:r>
      <w:r w:rsidR="003C743F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of UN system </w:t>
      </w:r>
      <w:r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to achieve more cost-</w:t>
      </w:r>
      <w:r w:rsidR="0080422D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effective</w:t>
      </w:r>
      <w:r w:rsidR="0080422D"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support services at country level, t</w:t>
      </w:r>
      <w:r w:rsidR="007270F5"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he </w:t>
      </w:r>
      <w:hyperlink r:id="rId5" w:history="1">
        <w:r w:rsidR="007270F5" w:rsidRPr="003C743F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U</w:t>
        </w:r>
        <w:r w:rsidR="003C743F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 xml:space="preserve">nited </w:t>
        </w:r>
        <w:r w:rsidR="007270F5" w:rsidRPr="003C743F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N</w:t>
        </w:r>
        <w:r w:rsidR="003C743F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 xml:space="preserve">ations </w:t>
        </w:r>
        <w:r w:rsidR="007270F5" w:rsidRPr="003C743F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D</w:t>
        </w:r>
        <w:r w:rsidR="003C743F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 xml:space="preserve">evelopment </w:t>
        </w:r>
        <w:r w:rsidR="007270F5" w:rsidRPr="003C743F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G</w:t>
        </w:r>
      </w:hyperlink>
      <w:r w:rsidR="003C743F" w:rsidRPr="004119C7">
        <w:rPr>
          <w:rStyle w:val="Hyperlink"/>
          <w:rFonts w:ascii="MinionPro-Regular" w:hAnsi="MinionPro-Regular" w:cs="MinionPro-Regular"/>
          <w:sz w:val="24"/>
          <w:szCs w:val="24"/>
          <w:lang w:val="en-GB"/>
        </w:rPr>
        <w:t>roup</w:t>
      </w:r>
      <w:r w:rsidR="003C743F" w:rsidRPr="00F72CF0">
        <w:rPr>
          <w:rStyle w:val="Hyperlink"/>
          <w:rFonts w:ascii="MinionPro-Regular" w:hAnsi="MinionPro-Regular" w:cs="MinionPro-Regular"/>
          <w:sz w:val="24"/>
          <w:szCs w:val="24"/>
          <w:lang w:val="en-GB"/>
        </w:rPr>
        <w:t xml:space="preserve"> (UNDG)</w:t>
      </w:r>
      <w:r w:rsidRPr="00F72CF0">
        <w:rPr>
          <w:rStyle w:val="Hyperlink"/>
          <w:sz w:val="24"/>
          <w:szCs w:val="24"/>
          <w:lang w:val="en-GB"/>
        </w:rPr>
        <w:t xml:space="preserve"> </w:t>
      </w:r>
      <w:r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developed </w:t>
      </w:r>
      <w:r w:rsidR="007270F5"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the </w:t>
      </w:r>
      <w:hyperlink r:id="rId6" w:history="1">
        <w:r w:rsidRPr="004119C7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B</w:t>
        </w:r>
        <w:r w:rsidR="007270F5" w:rsidRPr="004119C7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 xml:space="preserve">usiness </w:t>
        </w:r>
        <w:r w:rsidRPr="004119C7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Operations S</w:t>
        </w:r>
        <w:r w:rsidR="007270F5" w:rsidRPr="004119C7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trategy</w:t>
        </w:r>
        <w:r w:rsidR="003C743F" w:rsidRPr="004119C7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 xml:space="preserve"> (BOS)</w:t>
        </w:r>
      </w:hyperlink>
      <w:r w:rsidR="00FF4D4C"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,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="006D7F42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a </w:t>
      </w:r>
      <w:r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flexible and voluntary tool for UN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C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ountry </w:t>
      </w:r>
      <w:r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T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eams</w:t>
      </w:r>
      <w:r w:rsidRPr="00083F1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to support the implementation of their UNDAFs</w:t>
      </w:r>
      <w:r w:rsidR="006D7F42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through greater collaboration between UN agencies in country </w:t>
      </w:r>
      <w:r w:rsidR="0080422D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level </w:t>
      </w:r>
      <w:r w:rsidR="006D7F42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business operations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.</w:t>
      </w:r>
      <w:r w:rsidR="00FF4D4C"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</w:p>
    <w:p w:rsidR="00F72CF0" w:rsidRDefault="00F72CF0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4119C7" w:rsidRDefault="00FF4D4C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The B</w:t>
      </w:r>
      <w:r w:rsidR="003C743F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O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S is based on existing guidance, integrated in </w:t>
      </w:r>
      <w:r w:rsidR="00DF323A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one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framework, supplemented with a limited number of (voluntary) instruments facilitating cost benefit analysis, results-based planning and monitoring and evaluation of Common Business Operations.</w:t>
      </w:r>
      <w:r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The UNDG piloted</w:t>
      </w:r>
      <w:r w:rsidR="004119C7" w:rsidRP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the </w:t>
      </w:r>
      <w:r w:rsid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BOS</w:t>
      </w:r>
      <w:r w:rsidR="004119C7" w:rsidRP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in </w:t>
      </w:r>
      <w:r w:rsidR="00B304E6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a number of </w:t>
      </w:r>
      <w:r w:rsidR="004119C7" w:rsidRP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selected countries</w:t>
      </w:r>
      <w:r w:rsid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and recently conducted an evaluation of </w:t>
      </w:r>
      <w:r w:rsidR="006D7F42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five </w:t>
      </w:r>
      <w:r w:rsidR="00B304E6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formal </w:t>
      </w:r>
      <w:r w:rsid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pilots. The current </w:t>
      </w:r>
      <w:hyperlink r:id="rId7" w:history="1">
        <w:r w:rsidR="004119C7" w:rsidRPr="004119C7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BOS guidance note</w:t>
        </w:r>
      </w:hyperlink>
      <w:r w:rsid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will be revised in 2016 to improve the approach based on lessons learned from </w:t>
      </w:r>
      <w:r w:rsidR="006D7F42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the </w:t>
      </w:r>
      <w:r w:rsid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BOS pilots.</w:t>
      </w:r>
    </w:p>
    <w:p w:rsidR="00F72CF0" w:rsidRDefault="00F72CF0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FF4D4C" w:rsidRDefault="00FF4D4C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The UNDG </w:t>
      </w:r>
      <w:r w:rsid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also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incorporate</w:t>
      </w:r>
      <w:r w:rsid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d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the BOS in the </w:t>
      </w:r>
      <w:hyperlink r:id="rId8" w:history="1">
        <w:r w:rsidRPr="003C743F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Standard Operating Procedures</w:t>
        </w:r>
      </w:hyperlink>
      <w:r w:rsidR="00F72CF0" w:rsidRPr="00F72CF0">
        <w:rPr>
          <w:rStyle w:val="Hyperlink"/>
          <w:rFonts w:ascii="MinionPro-Regular" w:hAnsi="MinionPro-Regular" w:cs="MinionPro-Regular"/>
          <w:sz w:val="24"/>
          <w:szCs w:val="24"/>
          <w:lang w:val="en-GB"/>
        </w:rPr>
        <w:t xml:space="preserve"> (SOPs)</w:t>
      </w:r>
      <w:r w:rsidR="00F72CF0" w:rsidRPr="00F72CF0">
        <w:rPr>
          <w:rStyle w:val="Hyperlink"/>
        </w:rPr>
        <w:t xml:space="preserve"> </w:t>
      </w:r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as part of the </w:t>
      </w:r>
      <w:hyperlink r:id="rId9" w:history="1">
        <w:r w:rsidRPr="003C743F">
          <w:rPr>
            <w:rStyle w:val="Hyperlink"/>
            <w:rFonts w:ascii="MinionPro-Regular" w:hAnsi="MinionPro-Regular" w:cs="MinionPro-Regular"/>
            <w:sz w:val="24"/>
            <w:szCs w:val="24"/>
            <w:lang w:val="en-GB"/>
          </w:rPr>
          <w:t>“Operating as One” pillar</w:t>
        </w:r>
      </w:hyperlink>
      <w:r w:rsidRPr="00FF4D4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.</w:t>
      </w:r>
      <w:r w:rsidR="004119C7" w:rsidRPr="004119C7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="0034769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The “Operating as One” pillar will be also revised</w:t>
      </w:r>
      <w:r w:rsidR="00C34F9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in 2016</w:t>
      </w:r>
      <w:r w:rsidR="0034769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following the revision of </w:t>
      </w:r>
      <w:r w:rsidR="00C34F9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the</w:t>
      </w:r>
      <w:r w:rsidR="0034769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hyperlink r:id="rId10" w:history="1">
        <w:r w:rsidR="00347695" w:rsidRPr="00B304E6">
          <w:rPr>
            <w:rFonts w:ascii="MinionPro-Regular" w:hAnsi="MinionPro-Regular" w:cs="MinionPro-Regular"/>
            <w:color w:val="1F497D" w:themeColor="text2"/>
            <w:sz w:val="24"/>
            <w:szCs w:val="24"/>
            <w:lang w:val="en-GB"/>
          </w:rPr>
          <w:t xml:space="preserve">BOS guidance </w:t>
        </w:r>
      </w:hyperlink>
      <w:r w:rsidR="00C34F9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note</w:t>
      </w:r>
      <w:r w:rsidR="0034769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.</w:t>
      </w:r>
    </w:p>
    <w:p w:rsidR="00F72CF0" w:rsidRDefault="00F72CF0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3A62DA" w:rsidRPr="004119C7" w:rsidRDefault="003A62DA" w:rsidP="003A62DA">
      <w:pPr>
        <w:rPr>
          <w:rFonts w:ascii="MinionPro-Regular" w:hAnsi="MinionPro-Regular" w:cs="MinionPro-Regular"/>
          <w:b/>
          <w:color w:val="1F497D" w:themeColor="text2"/>
          <w:sz w:val="24"/>
          <w:szCs w:val="24"/>
          <w:lang w:val="en-GB"/>
        </w:rPr>
      </w:pPr>
      <w:r w:rsidRPr="003A62DA">
        <w:rPr>
          <w:rFonts w:ascii="MinionPro-Regular" w:hAnsi="MinionPro-Regular" w:cs="MinionPro-Regular"/>
          <w:b/>
          <w:color w:val="1F497D" w:themeColor="text2"/>
          <w:sz w:val="24"/>
          <w:szCs w:val="24"/>
          <w:lang w:val="en-GB"/>
        </w:rPr>
        <w:t xml:space="preserve">FAO </w:t>
      </w:r>
      <w:r>
        <w:rPr>
          <w:rFonts w:ascii="MinionPro-Regular" w:hAnsi="MinionPro-Regular" w:cs="MinionPro-Regular"/>
          <w:b/>
          <w:color w:val="1F497D" w:themeColor="text2"/>
          <w:sz w:val="24"/>
          <w:szCs w:val="24"/>
          <w:lang w:val="en-GB"/>
        </w:rPr>
        <w:t xml:space="preserve">and </w:t>
      </w:r>
      <w:r w:rsidRPr="004119C7">
        <w:rPr>
          <w:rFonts w:ascii="MinionPro-Regular" w:hAnsi="MinionPro-Regular" w:cs="MinionPro-Regular"/>
          <w:b/>
          <w:color w:val="1F497D" w:themeColor="text2"/>
          <w:sz w:val="24"/>
          <w:szCs w:val="24"/>
          <w:lang w:val="en-GB"/>
        </w:rPr>
        <w:t>Inter-Agency Business Operations Harmonization at country level</w:t>
      </w:r>
    </w:p>
    <w:p w:rsidR="00434B60" w:rsidRDefault="000B3850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  <w:r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FAO is committed to continue to pursue more </w:t>
      </w:r>
      <w:r w:rsidR="0080422D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cost-effective</w:t>
      </w:r>
      <w:r w:rsidR="00951AAC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support services</w:t>
      </w:r>
      <w:r w:rsid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at all levels</w:t>
      </w:r>
      <w:r w:rsidR="00951AAC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. A</w:t>
      </w:r>
      <w:r w:rsidR="00347695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t country level</w:t>
      </w:r>
      <w:r w:rsid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,</w:t>
      </w:r>
      <w:r w:rsidR="00347695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the </w:t>
      </w:r>
      <w:r w:rsidR="00B304E6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UN Country Team</w:t>
      </w:r>
      <w:r w:rsidR="00347695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, where FAO is full member</w:t>
      </w:r>
      <w:r w:rsidR="00951AAC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,</w:t>
      </w:r>
      <w:r w:rsidR="00347695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="00951AAC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may decide to develop</w:t>
      </w:r>
      <w:r w:rsidR="00951AAC" w:rsidRPr="00951AA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="006D7F42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a</w:t>
      </w:r>
      <w:r w:rsidR="006D7F42" w:rsidRPr="00951AA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="00951AAC" w:rsidRPr="00951AA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Business Operations Strategy </w:t>
      </w:r>
      <w:r w:rsidR="006D7F42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for the country</w:t>
      </w:r>
      <w:r w:rsidR="00951AAC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. </w:t>
      </w:r>
    </w:p>
    <w:p w:rsidR="00434B60" w:rsidRDefault="00434B60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951AAC" w:rsidRDefault="00951AAC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  <w:r w:rsidRPr="00951AA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Depending on the development results to be achieved, the </w:t>
      </w:r>
      <w:r w:rsidR="00DF323A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BOS</w:t>
      </w:r>
      <w:r w:rsidRPr="00951AA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="009B33CB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may cover</w:t>
      </w:r>
      <w:r w:rsidRPr="00951AA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some, or all, of the </w:t>
      </w:r>
      <w:r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following </w:t>
      </w:r>
      <w:r w:rsidRPr="00951AA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func</w:t>
      </w:r>
      <w:r w:rsidRPr="00951AA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softHyphen/>
        <w:t>tional areas</w:t>
      </w:r>
      <w:r w:rsidR="00C34F9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:</w:t>
      </w:r>
      <w:r w:rsidRPr="00951AAC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</w:p>
    <w:p w:rsidR="00F72CF0" w:rsidRPr="00951AAC" w:rsidRDefault="00F72CF0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951AAC" w:rsidRPr="009B33CB" w:rsidRDefault="00951AAC" w:rsidP="009B33CB">
      <w:pPr>
        <w:pStyle w:val="ListParagraph"/>
        <w:numPr>
          <w:ilvl w:val="0"/>
          <w:numId w:val="5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Common procurement; </w:t>
      </w:r>
    </w:p>
    <w:p w:rsidR="00951AAC" w:rsidRPr="009B33CB" w:rsidRDefault="00951AAC" w:rsidP="009B33CB">
      <w:pPr>
        <w:pStyle w:val="ListParagraph"/>
        <w:numPr>
          <w:ilvl w:val="0"/>
          <w:numId w:val="5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Common logistics and transport; </w:t>
      </w:r>
    </w:p>
    <w:p w:rsidR="00951AAC" w:rsidRPr="009B33CB" w:rsidRDefault="00951AAC" w:rsidP="009B33CB">
      <w:pPr>
        <w:pStyle w:val="ListParagraph"/>
        <w:numPr>
          <w:ilvl w:val="0"/>
          <w:numId w:val="5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Common ICT; </w:t>
      </w:r>
    </w:p>
    <w:p w:rsidR="00951AAC" w:rsidRPr="009B33CB" w:rsidRDefault="00951AAC" w:rsidP="009B33CB">
      <w:pPr>
        <w:pStyle w:val="ListParagraph"/>
        <w:numPr>
          <w:ilvl w:val="0"/>
          <w:numId w:val="5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Common HR; </w:t>
      </w:r>
    </w:p>
    <w:p w:rsidR="00951AAC" w:rsidRPr="009B33CB" w:rsidRDefault="00951AAC" w:rsidP="009B33CB">
      <w:pPr>
        <w:pStyle w:val="ListParagraph"/>
        <w:numPr>
          <w:ilvl w:val="0"/>
          <w:numId w:val="5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Common audit; </w:t>
      </w:r>
    </w:p>
    <w:p w:rsidR="00951AAC" w:rsidRPr="009B33CB" w:rsidRDefault="00951AAC" w:rsidP="009B33CB">
      <w:pPr>
        <w:pStyle w:val="ListParagraph"/>
        <w:numPr>
          <w:ilvl w:val="0"/>
          <w:numId w:val="5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Common finance; </w:t>
      </w:r>
    </w:p>
    <w:p w:rsidR="00951AAC" w:rsidRPr="009B33CB" w:rsidRDefault="00951AAC" w:rsidP="009B33CB">
      <w:pPr>
        <w:pStyle w:val="ListParagraph"/>
        <w:numPr>
          <w:ilvl w:val="0"/>
          <w:numId w:val="5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Harmonized approach to cash transfers (HACT); and </w:t>
      </w:r>
    </w:p>
    <w:p w:rsidR="00951AAC" w:rsidRDefault="00951AAC" w:rsidP="009B33CB">
      <w:pPr>
        <w:pStyle w:val="ListParagraph"/>
        <w:numPr>
          <w:ilvl w:val="0"/>
          <w:numId w:val="5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Common premises. </w:t>
      </w:r>
    </w:p>
    <w:p w:rsidR="009C2CE8" w:rsidRDefault="009C2CE8" w:rsidP="009C2CE8">
      <w:pPr>
        <w:jc w:val="both"/>
        <w:rPr>
          <w:rFonts w:ascii="MinionPro-Regular" w:hAnsi="MinionPro-Regular" w:cs="MinionPro-Regular"/>
          <w:color w:val="1F497D" w:themeColor="text2"/>
        </w:rPr>
      </w:pPr>
    </w:p>
    <w:p w:rsidR="00190025" w:rsidRPr="00951AAC" w:rsidRDefault="009C2CE8" w:rsidP="009C2CE8">
      <w:pPr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  <w:r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lastRenderedPageBreak/>
        <w:t>S</w:t>
      </w:r>
      <w:r w:rsidRPr="009C2CE8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eparate guidance</w:t>
      </w:r>
      <w:r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notes</w:t>
      </w:r>
      <w:r w:rsidRPr="009C2CE8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on FAO involvement </w:t>
      </w:r>
      <w:r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in each of the above specific </w:t>
      </w:r>
      <w:bookmarkStart w:id="0" w:name="_GoBack"/>
      <w:bookmarkEnd w:id="0"/>
      <w:r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areas will be prepared in the future following this first general information on </w:t>
      </w:r>
      <w:r w:rsidRPr="009C2CE8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FAO and Inter-Agency Business Operations Harmonization at country level</w:t>
      </w:r>
      <w:r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.</w:t>
      </w:r>
    </w:p>
    <w:p w:rsidR="00951AAC" w:rsidRDefault="00951AAC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  <w:r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FAO is encouraged to participate in discussions</w:t>
      </w:r>
      <w:r w:rsidR="00190025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in UNCT</w:t>
      </w:r>
      <w:r w:rsidR="00B304E6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s</w:t>
      </w:r>
      <w:r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="00190025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and OMT</w:t>
      </w:r>
      <w:r w:rsidR="00B304E6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s</w:t>
      </w:r>
      <w:r w:rsidR="00190025"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</w:t>
      </w:r>
      <w:r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on the possible development and participation in the </w:t>
      </w:r>
      <w:r w:rsidR="00DF323A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BOS</w:t>
      </w:r>
      <w:r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 with </w:t>
      </w:r>
      <w:r w:rsidR="006D7F42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 xml:space="preserve">the </w:t>
      </w:r>
      <w:r w:rsidRPr="00190025"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  <w:t>following considerations:</w:t>
      </w:r>
    </w:p>
    <w:p w:rsidR="00F72CF0" w:rsidRPr="00190025" w:rsidRDefault="00F72CF0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B304E6" w:rsidRPr="009B33CB" w:rsidRDefault="00C55843" w:rsidP="009B33CB">
      <w:pPr>
        <w:pStyle w:val="ListParagraph"/>
        <w:numPr>
          <w:ilvl w:val="0"/>
          <w:numId w:val="2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The BOS and number of areas </w:t>
      </w:r>
      <w:r w:rsidR="00B304E6" w:rsidRPr="009B33CB">
        <w:rPr>
          <w:rFonts w:ascii="MinionPro-Regular" w:hAnsi="MinionPro-Regular" w:cs="MinionPro-Regular"/>
          <w:color w:val="1F497D" w:themeColor="text2"/>
        </w:rPr>
        <w:t>to be included in the B</w:t>
      </w:r>
      <w:r w:rsidR="00DF323A">
        <w:rPr>
          <w:rFonts w:ascii="MinionPro-Regular" w:hAnsi="MinionPro-Regular" w:cs="MinionPro-Regular"/>
          <w:color w:val="1F497D" w:themeColor="text2"/>
        </w:rPr>
        <w:t>O</w:t>
      </w:r>
      <w:r w:rsidR="00B304E6" w:rsidRPr="009B33CB">
        <w:rPr>
          <w:rFonts w:ascii="MinionPro-Regular" w:hAnsi="MinionPro-Regular" w:cs="MinionPro-Regular"/>
          <w:color w:val="1F497D" w:themeColor="text2"/>
        </w:rPr>
        <w:t>S in a given country</w:t>
      </w:r>
      <w:r w:rsidRPr="009B33CB">
        <w:rPr>
          <w:rFonts w:ascii="MinionPro-Regular" w:hAnsi="MinionPro-Regular" w:cs="MinionPro-Regular"/>
          <w:color w:val="1F497D" w:themeColor="text2"/>
        </w:rPr>
        <w:t xml:space="preserve"> should be determined based on a rigorous and documented analysis of </w:t>
      </w:r>
      <w:r w:rsidR="00C34F95">
        <w:rPr>
          <w:rFonts w:ascii="MinionPro-Regular" w:hAnsi="MinionPro-Regular" w:cs="MinionPro-Regular"/>
          <w:color w:val="1F497D" w:themeColor="text2"/>
        </w:rPr>
        <w:t xml:space="preserve">local </w:t>
      </w:r>
      <w:r w:rsidRPr="009B33CB">
        <w:rPr>
          <w:rFonts w:ascii="MinionPro-Regular" w:hAnsi="MinionPro-Regular" w:cs="MinionPro-Regular"/>
          <w:color w:val="1F497D" w:themeColor="text2"/>
        </w:rPr>
        <w:t xml:space="preserve">needs; </w:t>
      </w:r>
    </w:p>
    <w:p w:rsidR="009B33CB" w:rsidRDefault="009B33CB" w:rsidP="009B33CB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9B33CB" w:rsidRPr="009B33CB" w:rsidRDefault="00F72CF0" w:rsidP="009B33CB">
      <w:pPr>
        <w:pStyle w:val="ListParagraph"/>
        <w:numPr>
          <w:ilvl w:val="0"/>
          <w:numId w:val="2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eastAsiaTheme="minorHAnsi" w:hAnsi="MinionPro-Regular" w:cs="MinionPro-Regular"/>
          <w:color w:val="1F497D" w:themeColor="text2"/>
        </w:rPr>
        <w:t>The B</w:t>
      </w:r>
      <w:r w:rsidR="007E61B6">
        <w:rPr>
          <w:rFonts w:ascii="MinionPro-Regular" w:eastAsiaTheme="minorHAnsi" w:hAnsi="MinionPro-Regular" w:cs="MinionPro-Regular"/>
          <w:color w:val="1F497D" w:themeColor="text2"/>
        </w:rPr>
        <w:t>O</w:t>
      </w:r>
      <w:r w:rsidRPr="009B33CB">
        <w:rPr>
          <w:rFonts w:ascii="MinionPro-Regular" w:eastAsiaTheme="minorHAnsi" w:hAnsi="MinionPro-Regular" w:cs="MinionPro-Regular"/>
          <w:color w:val="1F497D" w:themeColor="text2"/>
        </w:rPr>
        <w:t xml:space="preserve">S is not aimed at </w:t>
      </w:r>
      <w:r w:rsidR="005E52F7" w:rsidRPr="009B33CB">
        <w:rPr>
          <w:rFonts w:ascii="MinionPro-Regular" w:hAnsi="MinionPro-Regular" w:cs="MinionPro-Regular"/>
          <w:color w:val="1F497D" w:themeColor="text2"/>
        </w:rPr>
        <w:t xml:space="preserve">substituting </w:t>
      </w:r>
      <w:r w:rsidR="00434B60" w:rsidRPr="009B33CB">
        <w:rPr>
          <w:rFonts w:ascii="MinionPro-Regular" w:hAnsi="MinionPro-Regular" w:cs="MinionPro-Regular"/>
          <w:color w:val="1F497D" w:themeColor="text2"/>
        </w:rPr>
        <w:t>FAO</w:t>
      </w:r>
      <w:r w:rsidRPr="009B33CB">
        <w:rPr>
          <w:rFonts w:ascii="MinionPro-Regular" w:eastAsiaTheme="minorHAnsi" w:hAnsi="MinionPro-Regular" w:cs="MinionPro-Regular"/>
          <w:color w:val="1F497D" w:themeColor="text2"/>
        </w:rPr>
        <w:t xml:space="preserve"> operations, but rather </w:t>
      </w:r>
      <w:r w:rsidR="00434B60" w:rsidRPr="009B33CB">
        <w:rPr>
          <w:rFonts w:ascii="MinionPro-Regular" w:hAnsi="MinionPro-Regular" w:cs="MinionPro-Regular"/>
          <w:color w:val="1F497D" w:themeColor="text2"/>
        </w:rPr>
        <w:t xml:space="preserve">help to define where it would be more convenient </w:t>
      </w:r>
      <w:r w:rsidR="009B33CB" w:rsidRPr="009B33CB">
        <w:rPr>
          <w:rFonts w:ascii="MinionPro-Regular" w:hAnsi="MinionPro-Regular" w:cs="MinionPro-Regular"/>
          <w:color w:val="1F497D" w:themeColor="text2"/>
        </w:rPr>
        <w:t xml:space="preserve">for FAO </w:t>
      </w:r>
      <w:r w:rsidR="00434B60" w:rsidRPr="009B33CB">
        <w:rPr>
          <w:rFonts w:ascii="MinionPro-Regular" w:hAnsi="MinionPro-Regular" w:cs="MinionPro-Regular"/>
          <w:color w:val="1F497D" w:themeColor="text2"/>
        </w:rPr>
        <w:t xml:space="preserve">to </w:t>
      </w:r>
      <w:r w:rsidRPr="009B33CB">
        <w:rPr>
          <w:rFonts w:ascii="MinionPro-Regular" w:eastAsiaTheme="minorHAnsi" w:hAnsi="MinionPro-Regular" w:cs="MinionPro-Regular"/>
          <w:color w:val="1F497D" w:themeColor="text2"/>
        </w:rPr>
        <w:t xml:space="preserve">complement </w:t>
      </w:r>
      <w:r w:rsidR="00434B60" w:rsidRPr="009B33CB">
        <w:rPr>
          <w:rFonts w:ascii="MinionPro-Regular" w:hAnsi="MinionPro-Regular" w:cs="MinionPro-Regular"/>
          <w:color w:val="1F497D" w:themeColor="text2"/>
        </w:rPr>
        <w:t>FAO</w:t>
      </w:r>
      <w:r w:rsidRPr="009B33CB">
        <w:rPr>
          <w:rFonts w:ascii="MinionPro-Regular" w:eastAsiaTheme="minorHAnsi" w:hAnsi="MinionPro-Regular" w:cs="MinionPro-Regular"/>
          <w:color w:val="1F497D" w:themeColor="text2"/>
        </w:rPr>
        <w:t xml:space="preserve"> business operations with those operations that are done jointly</w:t>
      </w:r>
      <w:r w:rsidR="005E52F7" w:rsidRPr="009B33CB">
        <w:rPr>
          <w:rFonts w:ascii="MinionPro-Regular" w:hAnsi="MinionPro-Regular" w:cs="MinionPro-Regular"/>
          <w:color w:val="1F497D" w:themeColor="text2"/>
        </w:rPr>
        <w:t xml:space="preserve"> by UN agencies</w:t>
      </w:r>
      <w:r w:rsidR="009B33CB">
        <w:rPr>
          <w:rFonts w:ascii="MinionPro-Regular" w:hAnsi="MinionPro-Regular" w:cs="MinionPro-Regular"/>
          <w:color w:val="1F497D" w:themeColor="text2"/>
        </w:rPr>
        <w:t xml:space="preserve"> at country level</w:t>
      </w:r>
      <w:r w:rsidR="009B33CB" w:rsidRPr="009B33CB">
        <w:rPr>
          <w:rFonts w:ascii="MinionPro-Regular" w:hAnsi="MinionPro-Regular" w:cs="MinionPro-Regular"/>
          <w:color w:val="1F497D" w:themeColor="text2"/>
        </w:rPr>
        <w:t>;</w:t>
      </w:r>
    </w:p>
    <w:p w:rsidR="00F72CF0" w:rsidRDefault="00F72CF0" w:rsidP="009B33CB">
      <w:pPr>
        <w:spacing w:after="0"/>
        <w:ind w:firstLine="6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9B33CB" w:rsidRPr="009B33CB" w:rsidRDefault="009B33CB" w:rsidP="009B33CB">
      <w:pPr>
        <w:pStyle w:val="ListParagraph"/>
        <w:numPr>
          <w:ilvl w:val="0"/>
          <w:numId w:val="2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>A thorough Cost Benefit Analysis on the B</w:t>
      </w:r>
      <w:r w:rsidR="00DF323A">
        <w:rPr>
          <w:rFonts w:ascii="MinionPro-Regular" w:hAnsi="MinionPro-Regular" w:cs="MinionPro-Regular"/>
          <w:color w:val="1F497D" w:themeColor="text2"/>
        </w:rPr>
        <w:t>O</w:t>
      </w:r>
      <w:r w:rsidRPr="009B33CB">
        <w:rPr>
          <w:rFonts w:ascii="MinionPro-Regular" w:hAnsi="MinionPro-Regular" w:cs="MinionPro-Regular"/>
          <w:color w:val="1F497D" w:themeColor="text2"/>
        </w:rPr>
        <w:t>S is required, assessing the extent of the Costs and Benefits for FAO for each service;</w:t>
      </w:r>
    </w:p>
    <w:p w:rsidR="009B33CB" w:rsidRPr="009B33CB" w:rsidRDefault="009B33CB" w:rsidP="009B33CB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B304E6" w:rsidRPr="009B33CB" w:rsidRDefault="009B33CB" w:rsidP="009B33CB">
      <w:pPr>
        <w:pStyle w:val="ListParagraph"/>
        <w:numPr>
          <w:ilvl w:val="0"/>
          <w:numId w:val="2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9B33CB">
        <w:rPr>
          <w:rFonts w:ascii="MinionPro-Regular" w:hAnsi="MinionPro-Regular" w:cs="MinionPro-Regular"/>
          <w:color w:val="1F497D" w:themeColor="text2"/>
        </w:rPr>
        <w:t xml:space="preserve">FAO </w:t>
      </w:r>
      <w:r w:rsidR="00C34F95">
        <w:rPr>
          <w:rFonts w:ascii="MinionPro-Regular" w:hAnsi="MinionPro-Regular" w:cs="MinionPro-Regular"/>
          <w:color w:val="1F497D" w:themeColor="text2"/>
        </w:rPr>
        <w:t>may</w:t>
      </w:r>
      <w:r w:rsidRPr="009B33CB">
        <w:rPr>
          <w:rFonts w:ascii="MinionPro-Regular" w:hAnsi="MinionPro-Regular" w:cs="MinionPro-Regular"/>
          <w:color w:val="1F497D" w:themeColor="text2"/>
        </w:rPr>
        <w:t xml:space="preserve"> agree to be part of B</w:t>
      </w:r>
      <w:r w:rsidR="00DF323A">
        <w:rPr>
          <w:rFonts w:ascii="MinionPro-Regular" w:hAnsi="MinionPro-Regular" w:cs="MinionPro-Regular"/>
          <w:color w:val="1F497D" w:themeColor="text2"/>
        </w:rPr>
        <w:t>O</w:t>
      </w:r>
      <w:r w:rsidRPr="009B33CB">
        <w:rPr>
          <w:rFonts w:ascii="MinionPro-Regular" w:hAnsi="MinionPro-Regular" w:cs="MinionPro-Regular"/>
          <w:color w:val="1F497D" w:themeColor="text2"/>
        </w:rPr>
        <w:t xml:space="preserve">S only when the cost benefit analysis clearly shows </w:t>
      </w:r>
      <w:r w:rsidR="005E52F7" w:rsidRPr="009B33CB">
        <w:rPr>
          <w:rFonts w:ascii="MinionPro-Regular" w:hAnsi="MinionPro-Regular" w:cs="MinionPro-Regular"/>
          <w:color w:val="1F497D" w:themeColor="text2"/>
        </w:rPr>
        <w:t xml:space="preserve">a </w:t>
      </w:r>
      <w:r w:rsidR="005E52F7" w:rsidRPr="009B33CB">
        <w:rPr>
          <w:rFonts w:ascii="MinionPro-Regular" w:hAnsi="MinionPro-Regular" w:cs="MinionPro-Regular"/>
          <w:color w:val="1F497D" w:themeColor="text2"/>
        </w:rPr>
        <w:softHyphen/>
        <w:t>better outcome in terms of services to the country operations and overall costs</w:t>
      </w:r>
      <w:r w:rsidRPr="009B33CB">
        <w:rPr>
          <w:rFonts w:ascii="MinionPro-Regular" w:hAnsi="MinionPro-Regular" w:cs="MinionPro-Regular"/>
          <w:color w:val="1F497D" w:themeColor="text2"/>
        </w:rPr>
        <w:t xml:space="preserve"> for FAO</w:t>
      </w:r>
      <w:r w:rsidR="00C34F95">
        <w:rPr>
          <w:rFonts w:ascii="MinionPro-Regular" w:hAnsi="MinionPro-Regular" w:cs="MinionPro-Regular"/>
          <w:color w:val="1F497D" w:themeColor="text2"/>
        </w:rPr>
        <w:t>;</w:t>
      </w:r>
    </w:p>
    <w:p w:rsidR="009B33CB" w:rsidRDefault="009B33CB" w:rsidP="00F72CF0">
      <w:pPr>
        <w:spacing w:after="0"/>
        <w:jc w:val="both"/>
        <w:rPr>
          <w:rFonts w:ascii="MinionPro-Regular" w:hAnsi="MinionPro-Regular" w:cs="MinionPro-Regular"/>
          <w:color w:val="1F497D" w:themeColor="text2"/>
          <w:sz w:val="24"/>
          <w:szCs w:val="24"/>
          <w:lang w:val="en-GB"/>
        </w:rPr>
      </w:pPr>
    </w:p>
    <w:p w:rsidR="009B33CB" w:rsidRDefault="009B33CB" w:rsidP="009B33CB">
      <w:pPr>
        <w:pStyle w:val="ListParagraph"/>
        <w:numPr>
          <w:ilvl w:val="0"/>
          <w:numId w:val="2"/>
        </w:numPr>
        <w:jc w:val="both"/>
        <w:rPr>
          <w:rFonts w:ascii="MinionPro-Regular" w:hAnsi="MinionPro-Regular" w:cs="MinionPro-Regular"/>
          <w:color w:val="1F497D" w:themeColor="text2"/>
        </w:rPr>
      </w:pPr>
      <w:r w:rsidRPr="001044F6">
        <w:rPr>
          <w:rFonts w:ascii="MinionPro-Regular" w:hAnsi="MinionPro-Regular" w:cs="MinionPro-Regular"/>
          <w:color w:val="1F497D" w:themeColor="text2"/>
          <w:u w:val="single"/>
        </w:rPr>
        <w:t>The implementation of the</w:t>
      </w:r>
      <w:r w:rsidR="00DF323A">
        <w:rPr>
          <w:rFonts w:ascii="MinionPro-Regular" w:hAnsi="MinionPro-Regular" w:cs="MinionPro-Regular"/>
          <w:color w:val="1F497D" w:themeColor="text2"/>
          <w:u w:val="single"/>
        </w:rPr>
        <w:t xml:space="preserve"> BO</w:t>
      </w:r>
      <w:r w:rsidRPr="001044F6">
        <w:rPr>
          <w:rFonts w:ascii="MinionPro-Regular" w:hAnsi="MinionPro-Regular" w:cs="MinionPro-Regular"/>
          <w:color w:val="1F497D" w:themeColor="text2"/>
          <w:u w:val="single"/>
        </w:rPr>
        <w:t>S should not entail any additional costs for or investment from FAO side</w:t>
      </w:r>
      <w:r w:rsidRPr="009B33CB">
        <w:rPr>
          <w:rFonts w:ascii="MinionPro-Regular" w:hAnsi="MinionPro-Regular" w:cs="MinionPro-Regular"/>
          <w:color w:val="1F497D" w:themeColor="text2"/>
        </w:rPr>
        <w:t xml:space="preserve">. </w:t>
      </w:r>
      <w:r w:rsidR="00C34F95">
        <w:rPr>
          <w:rFonts w:ascii="MinionPro-Regular" w:hAnsi="MinionPro-Regular" w:cs="MinionPro-Regular"/>
          <w:color w:val="1F497D" w:themeColor="text2"/>
        </w:rPr>
        <w:t>Any requests and FAO country level contributions for BOS should be approved by OSD.</w:t>
      </w:r>
    </w:p>
    <w:p w:rsidR="001044F6" w:rsidRPr="001044F6" w:rsidRDefault="001044F6" w:rsidP="001044F6">
      <w:pPr>
        <w:pStyle w:val="ListParagraph"/>
        <w:rPr>
          <w:rFonts w:ascii="MinionPro-Regular" w:hAnsi="MinionPro-Regular" w:cs="MinionPro-Regular"/>
          <w:color w:val="1F497D" w:themeColor="text2"/>
        </w:rPr>
      </w:pPr>
    </w:p>
    <w:p w:rsidR="009B33CB" w:rsidRDefault="009B33CB" w:rsidP="009B33CB">
      <w:pPr>
        <w:jc w:val="both"/>
        <w:rPr>
          <w:rFonts w:ascii="MinionPro-Regular" w:hAnsi="MinionPro-Regular" w:cs="MinionPro-Regular"/>
          <w:color w:val="1F497D" w:themeColor="text2"/>
          <w:sz w:val="24"/>
          <w:szCs w:val="24"/>
        </w:rPr>
      </w:pPr>
      <w:r w:rsidRPr="009B33CB">
        <w:rPr>
          <w:rFonts w:ascii="MinionPro-Regular" w:hAnsi="MinionPro-Regular" w:cs="MinionPro-Regular"/>
          <w:color w:val="1F497D" w:themeColor="text2"/>
          <w:sz w:val="24"/>
          <w:szCs w:val="24"/>
        </w:rPr>
        <w:t>More general information on the B</w:t>
      </w:r>
      <w:r w:rsidR="00DF323A">
        <w:rPr>
          <w:rFonts w:ascii="MinionPro-Regular" w:hAnsi="MinionPro-Regular" w:cs="MinionPro-Regular"/>
          <w:color w:val="1F497D" w:themeColor="text2"/>
          <w:sz w:val="24"/>
          <w:szCs w:val="24"/>
        </w:rPr>
        <w:t>O</w:t>
      </w:r>
      <w:r w:rsidRPr="009B33CB">
        <w:rPr>
          <w:rFonts w:ascii="MinionPro-Regular" w:hAnsi="MinionPro-Regular" w:cs="MinionPro-Regular"/>
          <w:color w:val="1F497D" w:themeColor="text2"/>
          <w:sz w:val="24"/>
          <w:szCs w:val="24"/>
        </w:rPr>
        <w:t>S</w:t>
      </w:r>
      <w:r w:rsidR="001044F6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 and some examples of developed strategies </w:t>
      </w:r>
      <w:r w:rsidRPr="009B33CB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is available </w:t>
      </w:r>
      <w:r w:rsidR="001044F6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on the </w:t>
      </w:r>
      <w:hyperlink r:id="rId11" w:history="1">
        <w:r w:rsidR="001044F6" w:rsidRPr="001044F6">
          <w:rPr>
            <w:rStyle w:val="Hyperlink"/>
            <w:rFonts w:ascii="MinionPro-Regular" w:hAnsi="MinionPro-Regular" w:cs="MinionPro-Regular"/>
            <w:sz w:val="24"/>
            <w:szCs w:val="24"/>
          </w:rPr>
          <w:t>UNDG website</w:t>
        </w:r>
      </w:hyperlink>
      <w:r w:rsidR="001044F6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 and </w:t>
      </w:r>
      <w:hyperlink r:id="rId12" w:history="1">
        <w:r w:rsidR="001044F6" w:rsidRPr="001044F6">
          <w:rPr>
            <w:rStyle w:val="Hyperlink"/>
            <w:rFonts w:ascii="MinionPro-Regular" w:hAnsi="MinionPro-Regular" w:cs="MinionPro-Regular"/>
            <w:sz w:val="24"/>
            <w:szCs w:val="24"/>
          </w:rPr>
          <w:t>UNDG toolkit</w:t>
        </w:r>
      </w:hyperlink>
      <w:r w:rsidR="001044F6">
        <w:rPr>
          <w:rFonts w:ascii="MinionPro-Regular" w:hAnsi="MinionPro-Regular" w:cs="MinionPro-Regular"/>
          <w:color w:val="1F497D" w:themeColor="text2"/>
          <w:sz w:val="24"/>
          <w:szCs w:val="24"/>
        </w:rPr>
        <w:t>.</w:t>
      </w:r>
    </w:p>
    <w:p w:rsidR="009B33CB" w:rsidRDefault="009B33CB" w:rsidP="009B33CB">
      <w:pPr>
        <w:jc w:val="both"/>
        <w:rPr>
          <w:rFonts w:ascii="MinionPro-Regular" w:hAnsi="MinionPro-Regular" w:cs="MinionPro-Regular"/>
          <w:color w:val="1F497D" w:themeColor="text2"/>
          <w:sz w:val="24"/>
          <w:szCs w:val="24"/>
        </w:rPr>
      </w:pPr>
      <w:r w:rsidRPr="009B33CB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If </w:t>
      </w:r>
      <w:r w:rsidR="006D7F42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you have any </w:t>
      </w:r>
      <w:r w:rsidR="0080422D">
        <w:rPr>
          <w:rFonts w:ascii="MinionPro-Regular" w:hAnsi="MinionPro-Regular" w:cs="MinionPro-Regular"/>
          <w:color w:val="1F497D" w:themeColor="text2"/>
          <w:sz w:val="24"/>
          <w:szCs w:val="24"/>
        </w:rPr>
        <w:t>doubts,</w:t>
      </w:r>
      <w:r w:rsidR="0080422D" w:rsidRPr="009B33CB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 need</w:t>
      </w:r>
      <w:r w:rsidRPr="009B33CB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 </w:t>
      </w:r>
      <w:r>
        <w:rPr>
          <w:rFonts w:ascii="MinionPro-Regular" w:hAnsi="MinionPro-Regular" w:cs="MinionPro-Regular"/>
          <w:color w:val="1F497D" w:themeColor="text2"/>
          <w:sz w:val="24"/>
          <w:szCs w:val="24"/>
        </w:rPr>
        <w:t>clarifications</w:t>
      </w:r>
      <w:r w:rsidR="0080422D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 or would like </w:t>
      </w:r>
      <w:r w:rsidR="0080422D" w:rsidRPr="0080422D">
        <w:rPr>
          <w:rFonts w:ascii="MinionPro-Regular" w:hAnsi="MinionPro-Regular" w:cs="MinionPro-Regular"/>
          <w:color w:val="1F497D" w:themeColor="text2"/>
          <w:sz w:val="24"/>
          <w:szCs w:val="24"/>
        </w:rPr>
        <w:t>share your experiences in this area</w:t>
      </w:r>
      <w:r w:rsidR="0080422D">
        <w:rPr>
          <w:rFonts w:ascii="MinionPro-Regular" w:hAnsi="MinionPro-Regular" w:cs="MinionPro-Regular"/>
          <w:color w:val="1F497D" w:themeColor="text2"/>
          <w:sz w:val="24"/>
          <w:szCs w:val="24"/>
        </w:rPr>
        <w:t>,</w:t>
      </w:r>
      <w:r w:rsidRPr="009B33CB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 please contact Charlotta Oqvist (</w:t>
      </w:r>
      <w:hyperlink r:id="rId13" w:history="1">
        <w:r w:rsidRPr="009B33CB">
          <w:rPr>
            <w:rFonts w:ascii="MinionPro-Regular" w:hAnsi="MinionPro-Regular" w:cs="MinionPro-Regular"/>
            <w:color w:val="1F497D" w:themeColor="text2"/>
            <w:sz w:val="24"/>
            <w:szCs w:val="24"/>
          </w:rPr>
          <w:t>charlotta.oqvist@fao.org</w:t>
        </w:r>
      </w:hyperlink>
      <w:r w:rsidRPr="009B33CB">
        <w:rPr>
          <w:rFonts w:ascii="MinionPro-Regular" w:hAnsi="MinionPro-Regular" w:cs="MinionPro-Regular"/>
          <w:color w:val="1F497D" w:themeColor="text2"/>
          <w:sz w:val="24"/>
          <w:szCs w:val="24"/>
        </w:rPr>
        <w:t>) and Olga Abramova (</w:t>
      </w:r>
      <w:hyperlink r:id="rId14" w:history="1">
        <w:r w:rsidRPr="009B33CB">
          <w:rPr>
            <w:rFonts w:ascii="MinionPro-Regular" w:hAnsi="MinionPro-Regular" w:cs="MinionPro-Regular"/>
            <w:color w:val="1F497D" w:themeColor="text2"/>
            <w:sz w:val="24"/>
            <w:szCs w:val="24"/>
          </w:rPr>
          <w:t>olga.abramova@fao.org</w:t>
        </w:r>
      </w:hyperlink>
      <w:r w:rsidRPr="009B33CB">
        <w:rPr>
          <w:rFonts w:ascii="MinionPro-Regular" w:hAnsi="MinionPro-Regular" w:cs="MinionPro-Regular"/>
          <w:color w:val="1F497D" w:themeColor="text2"/>
          <w:sz w:val="24"/>
          <w:szCs w:val="24"/>
        </w:rPr>
        <w:t xml:space="preserve">). </w:t>
      </w:r>
    </w:p>
    <w:p w:rsidR="0080422D" w:rsidRDefault="0080422D" w:rsidP="009B33CB">
      <w:pPr>
        <w:jc w:val="both"/>
        <w:rPr>
          <w:rFonts w:ascii="MinionPro-Regular" w:hAnsi="MinionPro-Regular" w:cs="MinionPro-Regular"/>
          <w:color w:val="1F497D" w:themeColor="text2"/>
          <w:sz w:val="24"/>
          <w:szCs w:val="24"/>
        </w:rPr>
      </w:pPr>
    </w:p>
    <w:p w:rsidR="0080422D" w:rsidRPr="009B33CB" w:rsidRDefault="0080422D" w:rsidP="009B33CB">
      <w:pPr>
        <w:jc w:val="both"/>
        <w:rPr>
          <w:rFonts w:ascii="MinionPro-Regular" w:hAnsi="MinionPro-Regular" w:cs="MinionPro-Regular"/>
          <w:color w:val="1F497D" w:themeColor="text2"/>
          <w:sz w:val="24"/>
          <w:szCs w:val="24"/>
        </w:rPr>
      </w:pPr>
    </w:p>
    <w:sectPr w:rsidR="0080422D" w:rsidRPr="009B33CB" w:rsidSect="0099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2040503050201020203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1D0"/>
    <w:multiLevelType w:val="hybridMultilevel"/>
    <w:tmpl w:val="74C4FFD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E4D33"/>
    <w:multiLevelType w:val="hybridMultilevel"/>
    <w:tmpl w:val="B87AB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B289A"/>
    <w:multiLevelType w:val="hybridMultilevel"/>
    <w:tmpl w:val="881E8BD2"/>
    <w:lvl w:ilvl="0" w:tplc="71C88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A0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84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4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05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4B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C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EB5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D8B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D6315"/>
    <w:multiLevelType w:val="hybridMultilevel"/>
    <w:tmpl w:val="F2DC9E00"/>
    <w:lvl w:ilvl="0" w:tplc="6D8ADA1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color w:val="1F497D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D76389"/>
    <w:multiLevelType w:val="hybridMultilevel"/>
    <w:tmpl w:val="76FCFC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7270F5"/>
    <w:rsid w:val="00083F1B"/>
    <w:rsid w:val="000B3850"/>
    <w:rsid w:val="001044F6"/>
    <w:rsid w:val="00190025"/>
    <w:rsid w:val="00247789"/>
    <w:rsid w:val="002B47A0"/>
    <w:rsid w:val="003257A8"/>
    <w:rsid w:val="00347695"/>
    <w:rsid w:val="003A62DA"/>
    <w:rsid w:val="003C743F"/>
    <w:rsid w:val="004119C7"/>
    <w:rsid w:val="00434B60"/>
    <w:rsid w:val="00476FB9"/>
    <w:rsid w:val="00483E0A"/>
    <w:rsid w:val="005446EB"/>
    <w:rsid w:val="005E52F7"/>
    <w:rsid w:val="006D7F42"/>
    <w:rsid w:val="007270F5"/>
    <w:rsid w:val="007E61B6"/>
    <w:rsid w:val="0080422D"/>
    <w:rsid w:val="00844D40"/>
    <w:rsid w:val="00951AAC"/>
    <w:rsid w:val="00991F2F"/>
    <w:rsid w:val="009B33CB"/>
    <w:rsid w:val="009C2CE8"/>
    <w:rsid w:val="00A62004"/>
    <w:rsid w:val="00B304E6"/>
    <w:rsid w:val="00C34F95"/>
    <w:rsid w:val="00C55843"/>
    <w:rsid w:val="00DF323A"/>
    <w:rsid w:val="00EB3ABE"/>
    <w:rsid w:val="00EC293B"/>
    <w:rsid w:val="00F72CF0"/>
    <w:rsid w:val="00FF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7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83F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C74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62DA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1A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4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4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4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7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83F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C74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62DA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1A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4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4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4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g.org/home/guidance-policies/delivering-as-one/standard-operating-procedures-non-pilots/" TargetMode="External"/><Relationship Id="rId13" Type="http://schemas.openxmlformats.org/officeDocument/2006/relationships/hyperlink" Target="mailto:charlotta.oqvist@fa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dg.org/wp-content/uploads/2015/02/Guidance_Note_Business_Operations_Strategy_18_10_2012_Final-Draft.pdf" TargetMode="External"/><Relationship Id="rId12" Type="http://schemas.openxmlformats.org/officeDocument/2006/relationships/hyperlink" Target="http://toolkit.undg.org/workstream/5-common-services-and-harmonized-business-practices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ndg.org/main/undg_document/un-business-operations-strategy-guidance-note/" TargetMode="External"/><Relationship Id="rId11" Type="http://schemas.openxmlformats.org/officeDocument/2006/relationships/hyperlink" Target="https://undg.org/main/undg_document/un-business-operations-strategy-guidance-note/" TargetMode="External"/><Relationship Id="rId5" Type="http://schemas.openxmlformats.org/officeDocument/2006/relationships/hyperlink" Target="https://undg.org/home/about-und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dg.org/wp-content/uploads/2015/02/Guidance_Note_Business_Operations_Strategy_18_10_2012_Final-Draf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dg.org/home/guidance-policies/delivering-as-one/standard-operating-procedures-non-pilots/common-services-harmonized-business-practices/" TargetMode="External"/><Relationship Id="rId14" Type="http://schemas.openxmlformats.org/officeDocument/2006/relationships/hyperlink" Target="mailto:olga.abramova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Abramova (TCS)</dc:creator>
  <cp:lastModifiedBy>Elisabetta Harper (OSD)</cp:lastModifiedBy>
  <cp:revision>2</cp:revision>
  <cp:lastPrinted>2015-10-26T10:00:00Z</cp:lastPrinted>
  <dcterms:created xsi:type="dcterms:W3CDTF">2015-12-01T10:18:00Z</dcterms:created>
  <dcterms:modified xsi:type="dcterms:W3CDTF">2015-12-01T10:18:00Z</dcterms:modified>
</cp:coreProperties>
</file>